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ascii="宋体" w:hAnsi="宋体" w:cs="宋体"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招标项目名称:</w:t>
      </w:r>
      <w:r w:rsidR="003E3E7D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实验室</w:t>
      </w:r>
      <w:r w:rsidR="00295AEC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综合布线施工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项目招标 </w:t>
      </w:r>
      <w:r w:rsidR="00032993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3E3E7D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</w:t>
      </w:r>
      <w:r w:rsidR="00295AEC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</w:t>
      </w:r>
      <w:r w:rsidR="003E3E7D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   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G2022-1</w:t>
      </w:r>
      <w:r w:rsidR="003E3E7D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7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3B7AB5" w:rsidRDefault="003B7AB5">
      <w:pPr>
        <w:pStyle w:val="a9"/>
        <w:widowControl/>
        <w:spacing w:before="0" w:beforeAutospacing="0" w:after="0" w:afterAutospacing="0" w:line="450" w:lineRule="atLeast"/>
        <w:jc w:val="both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二○二二年</w:t>
      </w:r>
      <w:r w:rsidR="00032993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十</w:t>
      </w:r>
      <w:r w:rsidR="006C3180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月</w:t>
      </w:r>
    </w:p>
    <w:p w:rsidR="003B7AB5" w:rsidRDefault="003B7AB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3E3E7D">
        <w:rPr>
          <w:rFonts w:ascii="仿宋" w:eastAsia="仿宋" w:hAnsi="仿宋" w:hint="eastAsia"/>
          <w:sz w:val="24"/>
        </w:rPr>
        <w:t>实验室</w:t>
      </w:r>
      <w:r w:rsidR="00295AEC">
        <w:rPr>
          <w:rFonts w:ascii="仿宋" w:eastAsia="仿宋" w:hAnsi="仿宋" w:hint="eastAsia"/>
          <w:sz w:val="24"/>
        </w:rPr>
        <w:t>综合布线施工</w:t>
      </w:r>
      <w:r>
        <w:rPr>
          <w:rFonts w:ascii="仿宋" w:eastAsia="仿宋" w:hAnsi="仿宋" w:hint="eastAsia"/>
          <w:sz w:val="24"/>
        </w:rPr>
        <w:t>项目招标，欢迎能满足标书要求的厂家前来投标。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3E3E7D">
        <w:rPr>
          <w:rFonts w:ascii="仿宋" w:eastAsia="仿宋" w:hAnsi="仿宋" w:hint="eastAsia"/>
          <w:b/>
          <w:sz w:val="24"/>
          <w:u w:val="single"/>
        </w:rPr>
        <w:t>实验室</w:t>
      </w:r>
      <w:r w:rsidR="00295AEC">
        <w:rPr>
          <w:rFonts w:ascii="仿宋" w:eastAsia="仿宋" w:hAnsi="仿宋" w:hint="eastAsia"/>
          <w:b/>
          <w:sz w:val="24"/>
          <w:u w:val="single"/>
        </w:rPr>
        <w:t>综合布线施工</w:t>
      </w:r>
      <w:r>
        <w:rPr>
          <w:rFonts w:ascii="仿宋" w:eastAsia="仿宋" w:hAnsi="仿宋" w:hint="eastAsia"/>
          <w:b/>
          <w:sz w:val="24"/>
          <w:u w:val="single"/>
        </w:rPr>
        <w:t>项目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2022年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8940F1">
        <w:rPr>
          <w:rFonts w:ascii="仿宋" w:eastAsia="仿宋" w:hAnsi="仿宋" w:hint="eastAsia"/>
          <w:sz w:val="24"/>
        </w:rPr>
        <w:t xml:space="preserve">12 </w:t>
      </w:r>
      <w:r>
        <w:rPr>
          <w:rFonts w:ascii="仿宋" w:eastAsia="仿宋" w:hAnsi="仿宋" w:hint="eastAsia"/>
          <w:sz w:val="24"/>
        </w:rPr>
        <w:t>月</w:t>
      </w:r>
      <w:r w:rsidR="008940F1">
        <w:rPr>
          <w:rFonts w:ascii="仿宋" w:eastAsia="仿宋" w:hAnsi="仿宋" w:hint="eastAsia"/>
          <w:sz w:val="24"/>
        </w:rPr>
        <w:t xml:space="preserve"> 6</w:t>
      </w:r>
      <w:r w:rsidR="006C3180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6C3180" w:rsidRPr="006C3180">
        <w:rPr>
          <w:rFonts w:ascii="仿宋" w:eastAsia="仿宋" w:hAnsi="仿宋" w:hint="eastAsia"/>
          <w:sz w:val="24"/>
          <w:u w:val="single"/>
        </w:rPr>
        <w:t xml:space="preserve"> </w:t>
      </w:r>
      <w:r w:rsidR="00516778">
        <w:rPr>
          <w:rFonts w:ascii="仿宋" w:eastAsia="仿宋" w:hAnsi="仿宋" w:hint="eastAsia"/>
          <w:sz w:val="24"/>
          <w:u w:val="single"/>
        </w:rPr>
        <w:t>300</w:t>
      </w:r>
      <w:r w:rsidRPr="006C3180"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  户名：杜丹丹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（请备注清楚单位名称及所投项目名称）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 w:rsidR="00516778">
        <w:rPr>
          <w:rFonts w:ascii="仿宋" w:eastAsia="仿宋" w:hAnsi="仿宋" w:hint="eastAsia"/>
          <w:sz w:val="24"/>
          <w:u w:val="single"/>
        </w:rPr>
        <w:t xml:space="preserve"> </w:t>
      </w:r>
      <w:r w:rsidR="006C3180">
        <w:rPr>
          <w:rFonts w:ascii="仿宋" w:eastAsia="仿宋" w:hAnsi="仿宋" w:hint="eastAsia"/>
          <w:sz w:val="24"/>
          <w:u w:val="single"/>
        </w:rPr>
        <w:t xml:space="preserve"> </w:t>
      </w:r>
      <w:r w:rsidR="00516778">
        <w:rPr>
          <w:rFonts w:ascii="仿宋" w:eastAsia="仿宋" w:hAnsi="仿宋" w:hint="eastAsia"/>
          <w:sz w:val="24"/>
          <w:u w:val="single"/>
        </w:rPr>
        <w:t xml:space="preserve">3万 </w:t>
      </w:r>
      <w:r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投标单位于2022年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3B7AB5" w:rsidRDefault="007431F5">
      <w:pPr>
        <w:spacing w:line="5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6C3180" w:rsidRDefault="006C3180" w:rsidP="006C3180">
      <w:pPr>
        <w:spacing w:line="50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 w:rsidRPr="006C3180">
        <w:rPr>
          <w:rFonts w:ascii="仿宋" w:eastAsia="仿宋" w:hAnsi="仿宋" w:hint="eastAsia"/>
          <w:b/>
          <w:sz w:val="24"/>
        </w:rPr>
        <w:t>工期：</w:t>
      </w:r>
      <w:r w:rsidR="008940F1">
        <w:rPr>
          <w:rFonts w:ascii="仿宋" w:eastAsia="仿宋" w:hAnsi="仿宋" w:hint="eastAsia"/>
          <w:sz w:val="24"/>
        </w:rPr>
        <w:t>以招标方要求时间为准</w:t>
      </w:r>
      <w:r>
        <w:rPr>
          <w:rFonts w:ascii="仿宋" w:eastAsia="仿宋" w:hAnsi="仿宋" w:hint="eastAsia"/>
          <w:sz w:val="24"/>
        </w:rPr>
        <w:t>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sz w:val="24"/>
        </w:rPr>
        <w:t>另行通知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:rsidR="003B7AB5" w:rsidRPr="006C3180" w:rsidRDefault="007431F5" w:rsidP="006C3180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6C3180" w:rsidRPr="006C3180">
        <w:rPr>
          <w:rFonts w:ascii="仿宋" w:eastAsia="仿宋" w:hAnsi="仿宋" w:hint="eastAsia"/>
          <w:sz w:val="24"/>
        </w:rPr>
        <w:t>吕</w:t>
      </w:r>
      <w:r w:rsidR="006C3180">
        <w:rPr>
          <w:rFonts w:ascii="仿宋" w:eastAsia="仿宋" w:hAnsi="仿宋" w:hint="eastAsia"/>
          <w:sz w:val="24"/>
        </w:rPr>
        <w:t>老师15377529679、</w:t>
      </w:r>
      <w:r w:rsidR="006C3180" w:rsidRPr="006C3180">
        <w:rPr>
          <w:rFonts w:ascii="仿宋" w:eastAsia="仿宋" w:hAnsi="仿宋" w:hint="eastAsia"/>
          <w:sz w:val="24"/>
        </w:rPr>
        <w:t>夏</w:t>
      </w:r>
      <w:r w:rsidR="006C3180">
        <w:rPr>
          <w:rFonts w:ascii="仿宋" w:eastAsia="仿宋" w:hAnsi="仿宋" w:hint="eastAsia"/>
          <w:sz w:val="24"/>
        </w:rPr>
        <w:t>老师</w:t>
      </w:r>
      <w:r w:rsidR="006C3180" w:rsidRPr="006C3180">
        <w:rPr>
          <w:rFonts w:ascii="仿宋" w:eastAsia="仿宋" w:hAnsi="仿宋" w:hint="eastAsia"/>
          <w:sz w:val="24"/>
        </w:rPr>
        <w:t>13006103949</w:t>
      </w:r>
    </w:p>
    <w:p w:rsidR="006C3180" w:rsidRDefault="006C318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0" w:name="_Toc310528355"/>
      <w:bookmarkStart w:id="1" w:name="_Toc355795126"/>
      <w:bookmarkStart w:id="2" w:name="_Toc516597096"/>
      <w:bookmarkStart w:id="3" w:name="_Toc311463004"/>
    </w:p>
    <w:bookmarkEnd w:id="0"/>
    <w:bookmarkEnd w:id="1"/>
    <w:bookmarkEnd w:id="2"/>
    <w:bookmarkEnd w:id="3"/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</w:t>
      </w:r>
      <w:r w:rsidR="003E3E7D">
        <w:rPr>
          <w:rFonts w:ascii="仿宋" w:eastAsia="仿宋" w:hAnsi="仿宋" w:hint="eastAsia"/>
          <w:sz w:val="24"/>
        </w:rPr>
        <w:t>、针对此次项目的原厂授权证明</w:t>
      </w:r>
      <w:r>
        <w:rPr>
          <w:rFonts w:ascii="仿宋" w:eastAsia="仿宋" w:hAnsi="仿宋" w:hint="eastAsia"/>
          <w:sz w:val="24"/>
        </w:rPr>
        <w:t>等。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1、开标时间和地点：另行通知。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3B7AB5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    技术要求</w:t>
      </w:r>
    </w:p>
    <w:p w:rsidR="006C3180" w:rsidRDefault="006C3180" w:rsidP="006C3180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6C3180">
        <w:rPr>
          <w:rFonts w:ascii="仿宋" w:eastAsia="仿宋" w:hAnsi="仿宋" w:hint="eastAsia"/>
          <w:b/>
          <w:sz w:val="28"/>
          <w:szCs w:val="28"/>
        </w:rPr>
        <w:t>采购清单：</w:t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540"/>
        <w:gridCol w:w="1780"/>
        <w:gridCol w:w="1120"/>
        <w:gridCol w:w="660"/>
        <w:gridCol w:w="740"/>
        <w:gridCol w:w="4340"/>
      </w:tblGrid>
      <w:tr w:rsidR="00B427C8" w:rsidRPr="00B427C8" w:rsidTr="008939F7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  <w:r w:rsidRPr="00B427C8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  <w:r w:rsidRPr="00B427C8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  <w:r w:rsidRPr="00B427C8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  <w:r w:rsidRPr="00B427C8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  <w:r w:rsidRPr="00B427C8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  <w:r w:rsidRPr="00B427C8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技术参数要求</w:t>
            </w:r>
          </w:p>
        </w:tc>
      </w:tr>
      <w:tr w:rsidR="00B427C8" w:rsidRPr="00B427C8" w:rsidTr="008939F7">
        <w:trPr>
          <w:trHeight w:val="1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综合布线工程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布线工程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点位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1836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强电（公牛插座、电线2.5MM）、超六类网线,千兆水晶头及各种辅材、PVC管材、弯头、等其他辅材及施工，桌面预留多功能USB插座和网线接口，四位插座</w:t>
            </w:r>
          </w:p>
        </w:tc>
      </w:tr>
      <w:tr w:rsidR="00B427C8" w:rsidRPr="00B427C8" w:rsidTr="008939F7">
        <w:trPr>
          <w:trHeight w:val="5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网络设备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24口千兆以太网+4千兆光纤口，s5700系列</w:t>
            </w:r>
          </w:p>
        </w:tc>
      </w:tr>
      <w:tr w:rsidR="00B427C8" w:rsidRPr="00B427C8" w:rsidTr="008939F7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网络设备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24口千兆以太网+4千兆光纤口</w:t>
            </w:r>
          </w:p>
        </w:tc>
      </w:tr>
      <w:tr w:rsidR="00B427C8" w:rsidRPr="00B427C8" w:rsidTr="008939F7"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交换机机柜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网络设备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B427C8" w:rsidRDefault="008939F7" w:rsidP="008939F7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网络机柜12U 挂墙机柜</w:t>
            </w:r>
          </w:p>
        </w:tc>
      </w:tr>
      <w:tr w:rsidR="00B427C8" w:rsidRPr="00B427C8" w:rsidTr="008939F7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F7" w:rsidRPr="007227C9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7227C9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7227C9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7227C9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7227C9" w:rsidRDefault="007227C9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427C8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网络设备</w:t>
            </w:r>
            <w:bookmarkStart w:id="4" w:name="_GoBack"/>
            <w:bookmarkEnd w:id="4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9F7" w:rsidRPr="007227C9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7227C9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F7" w:rsidRPr="007227C9" w:rsidRDefault="008939F7" w:rsidP="008939F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7227C9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9F7" w:rsidRPr="007227C9" w:rsidRDefault="008939F7" w:rsidP="008939F7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7227C9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交换机24口千兆带机（带光口）</w:t>
            </w:r>
          </w:p>
        </w:tc>
      </w:tr>
    </w:tbl>
    <w:p w:rsidR="006C3180" w:rsidRPr="006C3180" w:rsidRDefault="006C3180" w:rsidP="006C3180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sectPr w:rsidR="006C3180" w:rsidRPr="006C3180" w:rsidSect="000329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42" w:rsidRDefault="00410942">
      <w:r>
        <w:separator/>
      </w:r>
    </w:p>
  </w:endnote>
  <w:endnote w:type="continuationSeparator" w:id="0">
    <w:p w:rsidR="00410942" w:rsidRDefault="0041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taPlusNormalRoman">
    <w:altName w:val="Arial"/>
    <w:charset w:val="00"/>
    <w:family w:val="swiss"/>
    <w:pitch w:val="default"/>
    <w:sig w:usb0="00000000" w:usb1="00000000" w:usb2="00000000" w:usb3="00000000" w:csb0="00000001" w:csb1="00000000"/>
  </w:font>
  <w:font w:name="MS 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B5" w:rsidRDefault="007431F5">
    <w:pPr>
      <w:pStyle w:val="a7"/>
      <w:jc w:val="center"/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7227C9">
      <w:rPr>
        <w:rStyle w:val="ad"/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42" w:rsidRDefault="00410942">
      <w:r>
        <w:separator/>
      </w:r>
    </w:p>
  </w:footnote>
  <w:footnote w:type="continuationSeparator" w:id="0">
    <w:p w:rsidR="00410942" w:rsidRDefault="0041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2670"/>
    <w:multiLevelType w:val="multilevel"/>
    <w:tmpl w:val="36D7267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F11A0A"/>
    <w:multiLevelType w:val="hybridMultilevel"/>
    <w:tmpl w:val="B14C5BA6"/>
    <w:lvl w:ilvl="0" w:tplc="0688E1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E23B25"/>
    <w:multiLevelType w:val="hybridMultilevel"/>
    <w:tmpl w:val="2030444C"/>
    <w:lvl w:ilvl="0" w:tplc="55A8A8A4">
      <w:start w:val="2"/>
      <w:numFmt w:val="bullet"/>
      <w:lvlText w:val="★"/>
      <w:lvlJc w:val="left"/>
      <w:pPr>
        <w:ind w:left="720" w:hanging="360"/>
      </w:pPr>
      <w:rPr>
        <w:rFonts w:ascii="宋体" w:eastAsia="宋体" w:hAnsi="宋体" w:cs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ljNWEzMmYwMjhjYTdjNzljN2EzOWM0YjhlYjkifQ=="/>
  </w:docVars>
  <w:rsids>
    <w:rsidRoot w:val="00C20867"/>
    <w:rsid w:val="0001038E"/>
    <w:rsid w:val="00032993"/>
    <w:rsid w:val="00037140"/>
    <w:rsid w:val="00045903"/>
    <w:rsid w:val="00065747"/>
    <w:rsid w:val="0006639C"/>
    <w:rsid w:val="00066B9C"/>
    <w:rsid w:val="00066CA9"/>
    <w:rsid w:val="000965BE"/>
    <w:rsid w:val="000B1231"/>
    <w:rsid w:val="000B144B"/>
    <w:rsid w:val="000B4E5F"/>
    <w:rsid w:val="000D2F7B"/>
    <w:rsid w:val="000D4BD3"/>
    <w:rsid w:val="001077AB"/>
    <w:rsid w:val="00114239"/>
    <w:rsid w:val="00114FE7"/>
    <w:rsid w:val="00117EAC"/>
    <w:rsid w:val="0012403A"/>
    <w:rsid w:val="001729CB"/>
    <w:rsid w:val="00172B0F"/>
    <w:rsid w:val="00172E78"/>
    <w:rsid w:val="00177816"/>
    <w:rsid w:val="00180389"/>
    <w:rsid w:val="00181C8E"/>
    <w:rsid w:val="00191C8D"/>
    <w:rsid w:val="001B7D44"/>
    <w:rsid w:val="001C19EF"/>
    <w:rsid w:val="001D11C9"/>
    <w:rsid w:val="001D6163"/>
    <w:rsid w:val="00206543"/>
    <w:rsid w:val="002124D1"/>
    <w:rsid w:val="00221816"/>
    <w:rsid w:val="002235CC"/>
    <w:rsid w:val="00246644"/>
    <w:rsid w:val="00247D33"/>
    <w:rsid w:val="00277575"/>
    <w:rsid w:val="002945A7"/>
    <w:rsid w:val="00295AEC"/>
    <w:rsid w:val="002A01CF"/>
    <w:rsid w:val="002B161E"/>
    <w:rsid w:val="002C4E9A"/>
    <w:rsid w:val="002D626D"/>
    <w:rsid w:val="002F45AC"/>
    <w:rsid w:val="0030406B"/>
    <w:rsid w:val="00321140"/>
    <w:rsid w:val="0033058D"/>
    <w:rsid w:val="0034212A"/>
    <w:rsid w:val="00342B58"/>
    <w:rsid w:val="003525AA"/>
    <w:rsid w:val="00355DF6"/>
    <w:rsid w:val="00361476"/>
    <w:rsid w:val="00366BF0"/>
    <w:rsid w:val="003841B7"/>
    <w:rsid w:val="00384935"/>
    <w:rsid w:val="003A18DA"/>
    <w:rsid w:val="003B15DF"/>
    <w:rsid w:val="003B3134"/>
    <w:rsid w:val="003B359A"/>
    <w:rsid w:val="003B6A27"/>
    <w:rsid w:val="003B7AB5"/>
    <w:rsid w:val="003C14A7"/>
    <w:rsid w:val="003E3E7D"/>
    <w:rsid w:val="003E5B6D"/>
    <w:rsid w:val="003E6258"/>
    <w:rsid w:val="003E6CF6"/>
    <w:rsid w:val="00410942"/>
    <w:rsid w:val="00427A61"/>
    <w:rsid w:val="00427ED7"/>
    <w:rsid w:val="0044265D"/>
    <w:rsid w:val="004540A0"/>
    <w:rsid w:val="004562FE"/>
    <w:rsid w:val="004619C4"/>
    <w:rsid w:val="00475409"/>
    <w:rsid w:val="004835A2"/>
    <w:rsid w:val="00483D91"/>
    <w:rsid w:val="00485977"/>
    <w:rsid w:val="00486E59"/>
    <w:rsid w:val="004A1B7A"/>
    <w:rsid w:val="004B49B7"/>
    <w:rsid w:val="004C112B"/>
    <w:rsid w:val="004C58BA"/>
    <w:rsid w:val="004D54E2"/>
    <w:rsid w:val="0050240F"/>
    <w:rsid w:val="00516778"/>
    <w:rsid w:val="005200E7"/>
    <w:rsid w:val="00524156"/>
    <w:rsid w:val="0053248C"/>
    <w:rsid w:val="00546690"/>
    <w:rsid w:val="00555E00"/>
    <w:rsid w:val="00556B28"/>
    <w:rsid w:val="005576D6"/>
    <w:rsid w:val="005646E9"/>
    <w:rsid w:val="00564D26"/>
    <w:rsid w:val="005668B5"/>
    <w:rsid w:val="005671CB"/>
    <w:rsid w:val="00572E44"/>
    <w:rsid w:val="0058312D"/>
    <w:rsid w:val="00590554"/>
    <w:rsid w:val="005A28AF"/>
    <w:rsid w:val="005A5B8C"/>
    <w:rsid w:val="005B09F5"/>
    <w:rsid w:val="005B5060"/>
    <w:rsid w:val="005D0E19"/>
    <w:rsid w:val="005D1422"/>
    <w:rsid w:val="005E42CC"/>
    <w:rsid w:val="005F0148"/>
    <w:rsid w:val="005F0218"/>
    <w:rsid w:val="005F6FE2"/>
    <w:rsid w:val="0062652D"/>
    <w:rsid w:val="006322B9"/>
    <w:rsid w:val="00633B87"/>
    <w:rsid w:val="00636D59"/>
    <w:rsid w:val="00645A32"/>
    <w:rsid w:val="00646473"/>
    <w:rsid w:val="00671322"/>
    <w:rsid w:val="00674FAA"/>
    <w:rsid w:val="0068541A"/>
    <w:rsid w:val="006A7BD3"/>
    <w:rsid w:val="006C3180"/>
    <w:rsid w:val="006C7393"/>
    <w:rsid w:val="006D3D00"/>
    <w:rsid w:val="006D628E"/>
    <w:rsid w:val="006E657A"/>
    <w:rsid w:val="006E7F37"/>
    <w:rsid w:val="006F24FA"/>
    <w:rsid w:val="006F4F5C"/>
    <w:rsid w:val="00702672"/>
    <w:rsid w:val="00720DFF"/>
    <w:rsid w:val="007227C9"/>
    <w:rsid w:val="00727695"/>
    <w:rsid w:val="007431F5"/>
    <w:rsid w:val="00745323"/>
    <w:rsid w:val="007478B1"/>
    <w:rsid w:val="00756F0C"/>
    <w:rsid w:val="0079292F"/>
    <w:rsid w:val="00797634"/>
    <w:rsid w:val="007A38EA"/>
    <w:rsid w:val="007B0E05"/>
    <w:rsid w:val="007B2401"/>
    <w:rsid w:val="007B4D33"/>
    <w:rsid w:val="007B63D2"/>
    <w:rsid w:val="007B6C97"/>
    <w:rsid w:val="007B6F3A"/>
    <w:rsid w:val="007C5EFD"/>
    <w:rsid w:val="007E2C3D"/>
    <w:rsid w:val="007E5661"/>
    <w:rsid w:val="00814E61"/>
    <w:rsid w:val="008242EF"/>
    <w:rsid w:val="00826170"/>
    <w:rsid w:val="008369B8"/>
    <w:rsid w:val="00847C6E"/>
    <w:rsid w:val="00861E26"/>
    <w:rsid w:val="00875885"/>
    <w:rsid w:val="008939F7"/>
    <w:rsid w:val="008940F1"/>
    <w:rsid w:val="00895EE5"/>
    <w:rsid w:val="008A3CCD"/>
    <w:rsid w:val="008B7BCC"/>
    <w:rsid w:val="008C35D0"/>
    <w:rsid w:val="008D632A"/>
    <w:rsid w:val="008E3FA3"/>
    <w:rsid w:val="008F7FD9"/>
    <w:rsid w:val="0090017E"/>
    <w:rsid w:val="00900B50"/>
    <w:rsid w:val="0091333C"/>
    <w:rsid w:val="00922BC2"/>
    <w:rsid w:val="00922BEC"/>
    <w:rsid w:val="00925AD0"/>
    <w:rsid w:val="009262C9"/>
    <w:rsid w:val="00944FA3"/>
    <w:rsid w:val="00950705"/>
    <w:rsid w:val="00986207"/>
    <w:rsid w:val="00996423"/>
    <w:rsid w:val="009B098F"/>
    <w:rsid w:val="009C28F1"/>
    <w:rsid w:val="009D5478"/>
    <w:rsid w:val="009D6498"/>
    <w:rsid w:val="009E2FF8"/>
    <w:rsid w:val="009E3433"/>
    <w:rsid w:val="009E4092"/>
    <w:rsid w:val="009E59E0"/>
    <w:rsid w:val="009E7426"/>
    <w:rsid w:val="00A00E4D"/>
    <w:rsid w:val="00A01FE1"/>
    <w:rsid w:val="00A215E4"/>
    <w:rsid w:val="00A33677"/>
    <w:rsid w:val="00A33F78"/>
    <w:rsid w:val="00A52C1C"/>
    <w:rsid w:val="00A60819"/>
    <w:rsid w:val="00A8001A"/>
    <w:rsid w:val="00A964BB"/>
    <w:rsid w:val="00AA2891"/>
    <w:rsid w:val="00AB1EEB"/>
    <w:rsid w:val="00AB4BA5"/>
    <w:rsid w:val="00AC09EC"/>
    <w:rsid w:val="00AC5083"/>
    <w:rsid w:val="00AC7C31"/>
    <w:rsid w:val="00AD2587"/>
    <w:rsid w:val="00AE0430"/>
    <w:rsid w:val="00AF3A47"/>
    <w:rsid w:val="00AF473E"/>
    <w:rsid w:val="00AF657A"/>
    <w:rsid w:val="00B02EA4"/>
    <w:rsid w:val="00B07742"/>
    <w:rsid w:val="00B10CFC"/>
    <w:rsid w:val="00B12E55"/>
    <w:rsid w:val="00B33326"/>
    <w:rsid w:val="00B3531E"/>
    <w:rsid w:val="00B427C8"/>
    <w:rsid w:val="00B53507"/>
    <w:rsid w:val="00B56165"/>
    <w:rsid w:val="00B92C73"/>
    <w:rsid w:val="00BA0FAB"/>
    <w:rsid w:val="00BB1202"/>
    <w:rsid w:val="00BB43C3"/>
    <w:rsid w:val="00BC2926"/>
    <w:rsid w:val="00BC6B23"/>
    <w:rsid w:val="00BD5B96"/>
    <w:rsid w:val="00BE4059"/>
    <w:rsid w:val="00BF1EB8"/>
    <w:rsid w:val="00C0226D"/>
    <w:rsid w:val="00C05651"/>
    <w:rsid w:val="00C07F71"/>
    <w:rsid w:val="00C1334C"/>
    <w:rsid w:val="00C15407"/>
    <w:rsid w:val="00C20867"/>
    <w:rsid w:val="00C21ECF"/>
    <w:rsid w:val="00C35E24"/>
    <w:rsid w:val="00C53C28"/>
    <w:rsid w:val="00C60263"/>
    <w:rsid w:val="00CA2223"/>
    <w:rsid w:val="00CA39DE"/>
    <w:rsid w:val="00CA459F"/>
    <w:rsid w:val="00CB1125"/>
    <w:rsid w:val="00CB36F1"/>
    <w:rsid w:val="00D00D3F"/>
    <w:rsid w:val="00D02B78"/>
    <w:rsid w:val="00D03CAF"/>
    <w:rsid w:val="00D13036"/>
    <w:rsid w:val="00D16286"/>
    <w:rsid w:val="00D52C01"/>
    <w:rsid w:val="00D52D20"/>
    <w:rsid w:val="00D650C1"/>
    <w:rsid w:val="00D81800"/>
    <w:rsid w:val="00D83723"/>
    <w:rsid w:val="00D94124"/>
    <w:rsid w:val="00D94815"/>
    <w:rsid w:val="00D94B0B"/>
    <w:rsid w:val="00DA69C1"/>
    <w:rsid w:val="00DB6DD0"/>
    <w:rsid w:val="00DD1632"/>
    <w:rsid w:val="00DD4DF1"/>
    <w:rsid w:val="00DE154A"/>
    <w:rsid w:val="00DE2A1D"/>
    <w:rsid w:val="00E06D74"/>
    <w:rsid w:val="00E1010D"/>
    <w:rsid w:val="00E375AA"/>
    <w:rsid w:val="00E438C6"/>
    <w:rsid w:val="00E63BEC"/>
    <w:rsid w:val="00E71907"/>
    <w:rsid w:val="00E726BA"/>
    <w:rsid w:val="00E8471C"/>
    <w:rsid w:val="00E91208"/>
    <w:rsid w:val="00EA2200"/>
    <w:rsid w:val="00EB1996"/>
    <w:rsid w:val="00EB29C8"/>
    <w:rsid w:val="00ED1B86"/>
    <w:rsid w:val="00ED1FDF"/>
    <w:rsid w:val="00EE069F"/>
    <w:rsid w:val="00EE4062"/>
    <w:rsid w:val="00EE7CC6"/>
    <w:rsid w:val="00EF1CED"/>
    <w:rsid w:val="00F040B8"/>
    <w:rsid w:val="00F06500"/>
    <w:rsid w:val="00F116B1"/>
    <w:rsid w:val="00F1443C"/>
    <w:rsid w:val="00F16B59"/>
    <w:rsid w:val="00F35D14"/>
    <w:rsid w:val="00F4377A"/>
    <w:rsid w:val="00F4775A"/>
    <w:rsid w:val="00F516BD"/>
    <w:rsid w:val="00F52854"/>
    <w:rsid w:val="00F61789"/>
    <w:rsid w:val="00F705AC"/>
    <w:rsid w:val="00F822D7"/>
    <w:rsid w:val="00F83877"/>
    <w:rsid w:val="00FB6E32"/>
    <w:rsid w:val="00FD7714"/>
    <w:rsid w:val="01AB083A"/>
    <w:rsid w:val="088E68A6"/>
    <w:rsid w:val="0C380048"/>
    <w:rsid w:val="0CC25F19"/>
    <w:rsid w:val="0D596455"/>
    <w:rsid w:val="0F0C1D5D"/>
    <w:rsid w:val="0F5F2145"/>
    <w:rsid w:val="0F78445B"/>
    <w:rsid w:val="113079FF"/>
    <w:rsid w:val="13274A51"/>
    <w:rsid w:val="13916645"/>
    <w:rsid w:val="14807239"/>
    <w:rsid w:val="15B2526F"/>
    <w:rsid w:val="18C964C3"/>
    <w:rsid w:val="19387FE7"/>
    <w:rsid w:val="1E0D0FBE"/>
    <w:rsid w:val="1F8C3975"/>
    <w:rsid w:val="1FA7388A"/>
    <w:rsid w:val="237C2E6E"/>
    <w:rsid w:val="26C70F75"/>
    <w:rsid w:val="2A990945"/>
    <w:rsid w:val="2FA74DAD"/>
    <w:rsid w:val="32FF4E24"/>
    <w:rsid w:val="33B01F86"/>
    <w:rsid w:val="33E30A91"/>
    <w:rsid w:val="35F66156"/>
    <w:rsid w:val="39857DF8"/>
    <w:rsid w:val="3A921CDB"/>
    <w:rsid w:val="3B4F6699"/>
    <w:rsid w:val="3D673B4F"/>
    <w:rsid w:val="3DE23DBE"/>
    <w:rsid w:val="3F93144D"/>
    <w:rsid w:val="421A6CC6"/>
    <w:rsid w:val="45B57C33"/>
    <w:rsid w:val="464D2F91"/>
    <w:rsid w:val="4B206DA5"/>
    <w:rsid w:val="4C881AAE"/>
    <w:rsid w:val="4FB21842"/>
    <w:rsid w:val="4FF516B7"/>
    <w:rsid w:val="5069493C"/>
    <w:rsid w:val="55FE6F2F"/>
    <w:rsid w:val="573C5F04"/>
    <w:rsid w:val="57FE7728"/>
    <w:rsid w:val="5A8D60DA"/>
    <w:rsid w:val="5CC953A2"/>
    <w:rsid w:val="5EB50A07"/>
    <w:rsid w:val="5F75223D"/>
    <w:rsid w:val="62E77A41"/>
    <w:rsid w:val="678B49FB"/>
    <w:rsid w:val="696F0F22"/>
    <w:rsid w:val="6C242C3A"/>
    <w:rsid w:val="6D1079DE"/>
    <w:rsid w:val="73F90EE0"/>
    <w:rsid w:val="763F4999"/>
    <w:rsid w:val="78257CD5"/>
    <w:rsid w:val="78DC00DC"/>
    <w:rsid w:val="78DF5DEA"/>
    <w:rsid w:val="798716BC"/>
    <w:rsid w:val="7E7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7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7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1EFCDB-C528-4148-9B9B-4CB08D63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320</Words>
  <Characters>1828</Characters>
  <Application>Microsoft Office Word</Application>
  <DocSecurity>0</DocSecurity>
  <Lines>15</Lines>
  <Paragraphs>4</Paragraphs>
  <ScaleCrop>false</ScaleCrop>
  <Company>CHINA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2020-08-18T02:33:00Z</cp:lastPrinted>
  <dcterms:created xsi:type="dcterms:W3CDTF">2022-09-15T06:00:00Z</dcterms:created>
  <dcterms:modified xsi:type="dcterms:W3CDTF">2022-12-03T06:12:00Z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DE1CA508667146AD81097F1E858C231F</vt:lpwstr>
  </property>
</Properties>
</file>