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 w:rsidR="00F76319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摄影摄像实验室</w:t>
      </w:r>
      <w:r w:rsidR="003E3E7D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设备</w:t>
      </w:r>
      <w:r w:rsidR="006C3180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采购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项目招标 </w:t>
      </w:r>
      <w:r w:rsidR="00032993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3E3E7D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G2022-1</w:t>
      </w:r>
      <w:r w:rsidR="00F76319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8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3B7AB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二○二二年</w:t>
      </w:r>
      <w:r w:rsidR="00032993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十</w:t>
      </w:r>
      <w:r w:rsidR="006C3180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:rsidR="003B7AB5" w:rsidRDefault="003B7AB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F76319">
        <w:rPr>
          <w:rFonts w:ascii="仿宋" w:eastAsia="仿宋" w:hAnsi="仿宋" w:hint="eastAsia"/>
          <w:sz w:val="24"/>
        </w:rPr>
        <w:t>摄影摄像实验室</w:t>
      </w:r>
      <w:r w:rsidR="003E3E7D">
        <w:rPr>
          <w:rFonts w:ascii="仿宋" w:eastAsia="仿宋" w:hAnsi="仿宋" w:hint="eastAsia"/>
          <w:sz w:val="24"/>
        </w:rPr>
        <w:t>设备</w:t>
      </w:r>
      <w:r w:rsidR="006C3180">
        <w:rPr>
          <w:rFonts w:ascii="仿宋" w:eastAsia="仿宋" w:hAnsi="仿宋" w:hint="eastAsia"/>
          <w:sz w:val="24"/>
        </w:rPr>
        <w:t>采购</w:t>
      </w:r>
      <w:r>
        <w:rPr>
          <w:rFonts w:ascii="仿宋" w:eastAsia="仿宋" w:hAnsi="仿宋" w:hint="eastAsia"/>
          <w:sz w:val="24"/>
        </w:rPr>
        <w:t>项目招标，欢迎能满足标书要求的厂家前来投标。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F76319" w:rsidRPr="00F76319">
        <w:rPr>
          <w:rFonts w:ascii="仿宋" w:eastAsia="仿宋" w:hAnsi="仿宋" w:hint="eastAsia"/>
          <w:b/>
          <w:sz w:val="24"/>
          <w:u w:val="single"/>
        </w:rPr>
        <w:t>摄影摄像</w:t>
      </w:r>
      <w:r w:rsidR="003E3E7D">
        <w:rPr>
          <w:rFonts w:ascii="仿宋" w:eastAsia="仿宋" w:hAnsi="仿宋" w:hint="eastAsia"/>
          <w:b/>
          <w:sz w:val="24"/>
          <w:u w:val="single"/>
        </w:rPr>
        <w:t>实验室设备</w:t>
      </w:r>
      <w:r w:rsidR="006C3180">
        <w:rPr>
          <w:rFonts w:ascii="仿宋" w:eastAsia="仿宋" w:hAnsi="仿宋" w:hint="eastAsia"/>
          <w:b/>
          <w:sz w:val="24"/>
          <w:u w:val="single"/>
        </w:rPr>
        <w:t>采购</w:t>
      </w:r>
      <w:r>
        <w:rPr>
          <w:rFonts w:ascii="仿宋" w:eastAsia="仿宋" w:hAnsi="仿宋" w:hint="eastAsia"/>
          <w:b/>
          <w:sz w:val="24"/>
          <w:u w:val="single"/>
        </w:rPr>
        <w:t>项目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2022年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AF4865">
        <w:rPr>
          <w:rFonts w:ascii="仿宋" w:eastAsia="仿宋" w:hAnsi="仿宋" w:hint="eastAsia"/>
          <w:sz w:val="24"/>
        </w:rPr>
        <w:t>12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AF4865">
        <w:rPr>
          <w:rFonts w:ascii="仿宋" w:eastAsia="仿宋" w:hAnsi="仿宋" w:hint="eastAsia"/>
          <w:sz w:val="24"/>
        </w:rPr>
        <w:t xml:space="preserve">6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6C3180" w:rsidRPr="006C3180">
        <w:rPr>
          <w:rFonts w:ascii="仿宋" w:eastAsia="仿宋" w:hAnsi="仿宋" w:hint="eastAsia"/>
          <w:sz w:val="24"/>
          <w:u w:val="single"/>
        </w:rPr>
        <w:t xml:space="preserve">  </w:t>
      </w:r>
      <w:r w:rsidR="00911E8F">
        <w:rPr>
          <w:rFonts w:ascii="仿宋" w:eastAsia="仿宋" w:hAnsi="仿宋" w:hint="eastAsia"/>
          <w:sz w:val="24"/>
          <w:u w:val="single"/>
        </w:rPr>
        <w:t>500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  户名：杜丹丹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6C3180">
        <w:rPr>
          <w:rFonts w:ascii="仿宋" w:eastAsia="仿宋" w:hAnsi="仿宋" w:hint="eastAsia"/>
          <w:sz w:val="24"/>
          <w:u w:val="single"/>
        </w:rPr>
        <w:t xml:space="preserve">  </w:t>
      </w:r>
      <w:r w:rsidR="00574804">
        <w:rPr>
          <w:rFonts w:ascii="仿宋" w:eastAsia="仿宋" w:hAnsi="仿宋" w:hint="eastAsia"/>
          <w:sz w:val="24"/>
          <w:u w:val="single"/>
        </w:rPr>
        <w:t>5万</w:t>
      </w:r>
      <w:r w:rsidR="00911E8F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投标单位于2022年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</w:t>
      </w:r>
      <w:r w:rsidR="00574804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%，验收合格满一年后付清余款。</w:t>
      </w:r>
    </w:p>
    <w:p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AF4865">
        <w:rPr>
          <w:rFonts w:ascii="仿宋" w:eastAsia="仿宋" w:hAnsi="仿宋" w:hint="eastAsia"/>
          <w:sz w:val="24"/>
        </w:rPr>
        <w:t>以招标方要求时间为准</w:t>
      </w:r>
      <w:r>
        <w:rPr>
          <w:rFonts w:ascii="仿宋" w:eastAsia="仿宋" w:hAnsi="仿宋" w:hint="eastAsia"/>
          <w:sz w:val="24"/>
        </w:rPr>
        <w:t>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sz w:val="24"/>
        </w:rPr>
        <w:t>另行通知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3B7AB5" w:rsidRPr="006C3180" w:rsidRDefault="007431F5" w:rsidP="006C3180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B73C6D" w:rsidRPr="00B73C6D">
        <w:rPr>
          <w:rFonts w:ascii="仿宋" w:eastAsia="仿宋" w:hAnsi="仿宋" w:hint="eastAsia"/>
          <w:sz w:val="24"/>
        </w:rPr>
        <w:t>彭</w:t>
      </w:r>
      <w:r w:rsidR="00B73C6D">
        <w:rPr>
          <w:rFonts w:ascii="仿宋" w:eastAsia="仿宋" w:hAnsi="仿宋" w:hint="eastAsia"/>
          <w:sz w:val="24"/>
        </w:rPr>
        <w:t xml:space="preserve">老师  </w:t>
      </w:r>
      <w:r w:rsidR="00B73C6D" w:rsidRPr="00B73C6D">
        <w:rPr>
          <w:rFonts w:ascii="仿宋" w:eastAsia="仿宋" w:hAnsi="仿宋" w:hint="eastAsia"/>
          <w:sz w:val="24"/>
        </w:rPr>
        <w:t>18986000948</w:t>
      </w:r>
      <w:r w:rsidR="00B73C6D">
        <w:rPr>
          <w:rFonts w:ascii="仿宋" w:eastAsia="仿宋" w:hAnsi="仿宋" w:hint="eastAsia"/>
          <w:sz w:val="24"/>
        </w:rPr>
        <w:t xml:space="preserve">  </w:t>
      </w:r>
      <w:r w:rsidR="00B73C6D" w:rsidRPr="00B73C6D">
        <w:rPr>
          <w:rFonts w:ascii="仿宋" w:eastAsia="仿宋" w:hAnsi="仿宋" w:hint="eastAsia"/>
          <w:sz w:val="24"/>
        </w:rPr>
        <w:t>林</w:t>
      </w:r>
      <w:r w:rsidR="00B73C6D">
        <w:rPr>
          <w:rFonts w:ascii="仿宋" w:eastAsia="仿宋" w:hAnsi="仿宋" w:hint="eastAsia"/>
          <w:sz w:val="24"/>
        </w:rPr>
        <w:t>老师</w:t>
      </w:r>
      <w:bookmarkStart w:id="0" w:name="_GoBack"/>
      <w:bookmarkEnd w:id="0"/>
      <w:r w:rsidR="00B73C6D" w:rsidRPr="00B73C6D">
        <w:rPr>
          <w:rFonts w:ascii="仿宋" w:eastAsia="仿宋" w:hAnsi="仿宋" w:hint="eastAsia"/>
          <w:sz w:val="24"/>
        </w:rPr>
        <w:t>18627716875</w:t>
      </w:r>
    </w:p>
    <w:p w:rsidR="006C3180" w:rsidRDefault="006C318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55795126"/>
      <w:bookmarkStart w:id="3" w:name="_Toc516597096"/>
      <w:bookmarkStart w:id="4" w:name="_Toc311463004"/>
    </w:p>
    <w:bookmarkEnd w:id="1"/>
    <w:bookmarkEnd w:id="2"/>
    <w:bookmarkEnd w:id="3"/>
    <w:bookmarkEnd w:id="4"/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3E3E7D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p w:rsidR="006C3180" w:rsidRDefault="006C3180" w:rsidP="006C3180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6C3180">
        <w:rPr>
          <w:rFonts w:ascii="仿宋" w:eastAsia="仿宋" w:hAnsi="仿宋" w:hint="eastAsia"/>
          <w:b/>
          <w:sz w:val="28"/>
          <w:szCs w:val="28"/>
        </w:rPr>
        <w:t>采购清单：</w:t>
      </w:r>
    </w:p>
    <w:tbl>
      <w:tblPr>
        <w:tblW w:w="540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709"/>
        <w:gridCol w:w="709"/>
        <w:gridCol w:w="5952"/>
      </w:tblGrid>
      <w:tr w:rsidR="00B73C6D" w:rsidRPr="00B73C6D" w:rsidTr="00B73C6D">
        <w:trPr>
          <w:trHeight w:val="5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B73C6D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  <w:szCs w:val="22"/>
              </w:rPr>
              <w:t>序号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B73C6D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B73C6D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  <w:szCs w:val="22"/>
              </w:rPr>
              <w:t>单位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B73C6D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  <w:szCs w:val="22"/>
              </w:rPr>
              <w:t>数量</w:t>
            </w:r>
          </w:p>
        </w:tc>
        <w:tc>
          <w:tcPr>
            <w:tcW w:w="3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  <w:szCs w:val="22"/>
              </w:rPr>
            </w:pPr>
            <w:r w:rsidRPr="00B73C6D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2"/>
                <w:szCs w:val="22"/>
              </w:rPr>
              <w:t>技术参数要求</w:t>
            </w:r>
          </w:p>
        </w:tc>
      </w:tr>
      <w:tr w:rsidR="00B73C6D" w:rsidRPr="00B73C6D" w:rsidTr="00B73C6D">
        <w:trPr>
          <w:trHeight w:val="17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摄影设备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微单摄影设备3250万像素、最高连拍速度30张/秒、最高快门速度1/16000秒、最高支持8级防抖、支持人物动物赛车的被摄体识别追踪、常用感光度ISO32000、支持4K 60P、7K超采样4K 30P、1080P时120P高帧频、支持4K超采、支持Log3模式、HDMI输出支持4K输出、自动/1080P可选、双卡槽、128GB SD存储卡PRO Plus U3 V30读速160MB/s写速120MB/s高速专业数码相机内存卡热靴水平仪2470F2.8屏幕钢化膜腕带。</w:t>
            </w:r>
          </w:p>
        </w:tc>
      </w:tr>
      <w:tr w:rsidR="00B73C6D" w:rsidRPr="00B73C6D" w:rsidTr="00B73C6D">
        <w:trPr>
          <w:trHeight w:val="204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摄影设备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微单摄影设备2420万像素、测光范围 -2EV-20EV（ISO100、 F2.0镜头)、快速型混合自动对焦(相位检测自动对焦+对比度检测自动对焦）、425点（相位检测自动对焦） /425点（对比度检测自动对焦）、自动对焦人脸优先、连拍：高速11 张/秒、静态照片：1/4000至30秒、闪光同步速度 1/160秒、内置立体声麦克风、支持4K 30P、全高清120P、支持4K超采、支持Log模式128GB SD存储卡PRO Plus U3 V30读速160MB/s写速120MB/s高速专业数码相机内存卡热靴水平仪2470F2.8屏幕钢化膜腕带。</w:t>
            </w:r>
          </w:p>
        </w:tc>
      </w:tr>
      <w:tr w:rsidR="00B73C6D" w:rsidRPr="00B73C6D" w:rsidTr="00B73C6D">
        <w:trPr>
          <w:trHeight w:val="153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摄影设备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APS-C半画幅微单摄影设备2400万像素、最高连拍速度23张/秒、最高快门速度1/16000秒、支持人物动物赛车的被摄体识别追踪、自动对焦点位最多4503个、自动对焦区域最大651区、支持4K 30P、全高清120P、支持6K超采样4K UHD、HDMI输出支持4K输出、自动/1080P可选、128GB SD存储卡PRO Plus U3 V30读速160MB/s写速120MB/s高速专业数码相机内存卡热靴水平仪24105F4屏幕钢化膜腕带。</w:t>
            </w:r>
          </w:p>
        </w:tc>
      </w:tr>
      <w:tr w:rsidR="00B73C6D" w:rsidRPr="00B73C6D" w:rsidTr="00B73C6D">
        <w:trPr>
          <w:trHeight w:val="331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无人机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航拍无人机、起飞重量895克、折叠尺寸（不带桨）：长 221 毫米、宽 96.3 毫米、高 90.3 毫米、折叠（不带桨）：长 221 毫米、宽 96.3 毫米、高 90.3 毫米、最大上升速度、8 米/秒、最大下降速度</w:t>
            </w: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6 米/秒、最大水平飞行速度</w:t>
            </w: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21 米/秒、最大起飞海拔高度</w:t>
            </w: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6000 米、最长飞行时间46 分钟、最长悬停时间40分钟、最大续航里程30公里、卫星导航系统GPS + Galileo+BeiDou、相机影像传感器哈苏相机：</w:t>
            </w: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4/3 CMOS、有效像素 2000 万、长焦相机：1/2 英寸 CMOS、有效像素 1200万、镜头视角：84°等效焦距：24 mm光圈：f/2.8 至 f/11对焦点：1 米至无穷远、长焦相机：视角：15°等效焦距：162 mm光圈：f/4.4对焦点：3 米至无穷远、带遥控器×1、智能飞行电池×3、充电管家×1、ND 镜（ND4/8/16/32）。</w:t>
            </w:r>
          </w:p>
        </w:tc>
      </w:tr>
      <w:tr w:rsidR="00B73C6D" w:rsidRPr="00B73C6D" w:rsidTr="00B73C6D">
        <w:trPr>
          <w:trHeight w:val="229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稳定器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单手持微单云台稳定器、负载重量3千克、NATO 接口、1/4"-20 安装孔、冷靴接口、图传/跟焦电机接口（USB-C）、RSS 相机快门控制接口（USB-C）、跟焦电机接口（USB-C）、电池容量：3000 毫安时、最长待机时间：12 小时、支持接口类型蓝牙 5.0、支持App、支持触摸彩屏、充电接口（USB-C）最大可控转速平移方向：360°/s、俯仰方向：360°/s、横滚方向：360°/s、机械限位范围平移轴无限位横滚轴 -95°至240°、</w:t>
            </w: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俯仰轴 -112° 至 214°、工作频率2.400 GHz-2.484 GHz、蓝牙发射功率&lt;8 dBm。</w:t>
            </w:r>
          </w:p>
        </w:tc>
      </w:tr>
      <w:tr w:rsidR="00B73C6D" w:rsidRPr="00B73C6D" w:rsidTr="00B73C6D">
        <w:trPr>
          <w:trHeight w:val="127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专业常亮灯光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88W RGB全彩LED聚光灯、输入电压/电流DC15V/6A Max、AC100-240V 50/60Hz超广色温1800k-20000k、红绿平衡G/M±100、显色指数CRI平均96、电视照明一致性指数TLCI平均95、色彩保真度TM30-RF平均94、色彩饱和度TM30-Rg平均100、灯体操控、2.4G、蓝牙、NANLINK APP、DMX/RDM、LED灯珠基色RGBLAC。</w:t>
            </w:r>
          </w:p>
        </w:tc>
      </w:tr>
      <w:tr w:rsidR="00B73C6D" w:rsidRPr="00B73C6D" w:rsidTr="00B73C6D">
        <w:trPr>
          <w:trHeight w:val="7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专业闪光灯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600Ws标准保荣口高速影室闪光灯2.4G无线遥控、色温恒定5400K±200K、高速同步1/8000s、造型灯40WLED、急速回电0.01-0.9s、闪光时间（t0.1）1/29600s。</w:t>
            </w:r>
          </w:p>
        </w:tc>
      </w:tr>
      <w:tr w:rsidR="00B73C6D" w:rsidRPr="00B73C6D" w:rsidTr="00B73C6D">
        <w:trPr>
          <w:trHeight w:val="51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干燥箱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数控款电子防潮箱干燥箱、宽121*深68*高194.5cm、6层隔板、容量1200L。</w:t>
            </w:r>
          </w:p>
        </w:tc>
      </w:tr>
      <w:tr w:rsidR="00B73C6D" w:rsidRPr="00B73C6D" w:rsidTr="00B73C6D">
        <w:trPr>
          <w:trHeight w:val="25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索尼相机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索尼a7m3</w:t>
            </w:r>
          </w:p>
        </w:tc>
      </w:tr>
      <w:tr w:rsidR="00B73C6D" w:rsidRPr="00B73C6D" w:rsidTr="00B73C6D">
        <w:trPr>
          <w:trHeight w:val="51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索尼全画幅变焦镜头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FE24-70 F2.8 GM一代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罗技高清摄像头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罗技cc2000e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罗德麦（定向）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罗德NTG4+</w:t>
            </w:r>
          </w:p>
        </w:tc>
      </w:tr>
      <w:tr w:rsidR="00B73C6D" w:rsidRPr="00B73C6D" w:rsidTr="00B73C6D">
        <w:trPr>
          <w:trHeight w:val="51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罗德麦（无线一拖二）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罗德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TP-LINK分流器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8口交换机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FS300灯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南冠南光FS300灯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FS200灯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南冠南光FS200灯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FS150灯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南冠南光FS150灯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65cm球形柔光罩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神牛65cm球形柔光罩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90cm深口抛物线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神牛90cm深口抛物线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4K采集卡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阿卡西斯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深口抛物线蛋格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神牛深口抛物线蛋格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RX18TD布灯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神牛RX18TD布灯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HDMI线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毕亚兹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4K转接头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毕亚兹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影视灯电源线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神牛电源线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三脚架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云腾三脚架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L型竖拍板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尼彩L型竖拍板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直播补光灯圈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定制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电动遥控绿幕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定制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背景布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定制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大疆云台稳定器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大疆RS3</w:t>
            </w:r>
          </w:p>
        </w:tc>
      </w:tr>
      <w:tr w:rsidR="00B73C6D" w:rsidRPr="00B73C6D" w:rsidTr="00B73C6D">
        <w:trPr>
          <w:trHeight w:val="76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大疆无人机（随心换2年128G内存卡）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大疆御3 代屏幕套装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手持棒灯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智云</w:t>
            </w:r>
          </w:p>
        </w:tc>
      </w:tr>
      <w:tr w:rsidR="00B73C6D" w:rsidRPr="00B73C6D" w:rsidTr="00B73C6D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21.5寸提词器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D" w:rsidRPr="00B73C6D" w:rsidRDefault="00B73C6D" w:rsidP="00B73C6D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3C6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遁威带支架</w:t>
            </w:r>
          </w:p>
        </w:tc>
      </w:tr>
    </w:tbl>
    <w:p w:rsidR="006C3180" w:rsidRPr="006C3180" w:rsidRDefault="006C3180" w:rsidP="006C3180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sectPr w:rsidR="006C3180" w:rsidRPr="006C3180" w:rsidSect="000329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C1" w:rsidRDefault="00BB06C1">
      <w:r>
        <w:separator/>
      </w:r>
    </w:p>
  </w:endnote>
  <w:endnote w:type="continuationSeparator" w:id="0">
    <w:p w:rsidR="00BB06C1" w:rsidRDefault="00BB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B5" w:rsidRDefault="007431F5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B73C6D">
      <w:rPr>
        <w:rStyle w:val="ad"/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C1" w:rsidRDefault="00BB06C1">
      <w:r>
        <w:separator/>
      </w:r>
    </w:p>
  </w:footnote>
  <w:footnote w:type="continuationSeparator" w:id="0">
    <w:p w:rsidR="00BB06C1" w:rsidRDefault="00BB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2670"/>
    <w:multiLevelType w:val="multilevel"/>
    <w:tmpl w:val="36D7267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F11A0A"/>
    <w:multiLevelType w:val="hybridMultilevel"/>
    <w:tmpl w:val="B14C5BA6"/>
    <w:lvl w:ilvl="0" w:tplc="0688E1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E23B25"/>
    <w:multiLevelType w:val="hybridMultilevel"/>
    <w:tmpl w:val="2030444C"/>
    <w:lvl w:ilvl="0" w:tplc="55A8A8A4">
      <w:start w:val="2"/>
      <w:numFmt w:val="bullet"/>
      <w:lvlText w:val="★"/>
      <w:lvlJc w:val="left"/>
      <w:pPr>
        <w:ind w:left="72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1038E"/>
    <w:rsid w:val="00032993"/>
    <w:rsid w:val="00037140"/>
    <w:rsid w:val="00045903"/>
    <w:rsid w:val="00065747"/>
    <w:rsid w:val="0006639C"/>
    <w:rsid w:val="00066CA9"/>
    <w:rsid w:val="000965BE"/>
    <w:rsid w:val="000B1231"/>
    <w:rsid w:val="000B144B"/>
    <w:rsid w:val="000B4E5F"/>
    <w:rsid w:val="000D2F7B"/>
    <w:rsid w:val="000D4BD3"/>
    <w:rsid w:val="001077AB"/>
    <w:rsid w:val="00114239"/>
    <w:rsid w:val="00114FE7"/>
    <w:rsid w:val="00117EAC"/>
    <w:rsid w:val="0012403A"/>
    <w:rsid w:val="001632EC"/>
    <w:rsid w:val="001729CB"/>
    <w:rsid w:val="00172B0F"/>
    <w:rsid w:val="00172E78"/>
    <w:rsid w:val="00177816"/>
    <w:rsid w:val="00180389"/>
    <w:rsid w:val="00181C8E"/>
    <w:rsid w:val="00191C8D"/>
    <w:rsid w:val="00195414"/>
    <w:rsid w:val="001B7D44"/>
    <w:rsid w:val="001C19EF"/>
    <w:rsid w:val="001D11C9"/>
    <w:rsid w:val="001D6163"/>
    <w:rsid w:val="002124D1"/>
    <w:rsid w:val="00221816"/>
    <w:rsid w:val="002235CC"/>
    <w:rsid w:val="00246644"/>
    <w:rsid w:val="00247D33"/>
    <w:rsid w:val="00277575"/>
    <w:rsid w:val="002945A7"/>
    <w:rsid w:val="002A01CF"/>
    <w:rsid w:val="002B161E"/>
    <w:rsid w:val="002C4E9A"/>
    <w:rsid w:val="002D626D"/>
    <w:rsid w:val="002F45AC"/>
    <w:rsid w:val="0030406B"/>
    <w:rsid w:val="00321140"/>
    <w:rsid w:val="0033058D"/>
    <w:rsid w:val="0034212A"/>
    <w:rsid w:val="00342B58"/>
    <w:rsid w:val="003525AA"/>
    <w:rsid w:val="00355DF6"/>
    <w:rsid w:val="00361476"/>
    <w:rsid w:val="00366BF0"/>
    <w:rsid w:val="003841B7"/>
    <w:rsid w:val="00384935"/>
    <w:rsid w:val="003A18DA"/>
    <w:rsid w:val="003B15DF"/>
    <w:rsid w:val="003B3134"/>
    <w:rsid w:val="003B359A"/>
    <w:rsid w:val="003B6A27"/>
    <w:rsid w:val="003B7AB5"/>
    <w:rsid w:val="003C14A7"/>
    <w:rsid w:val="003E3E7D"/>
    <w:rsid w:val="003E5B6D"/>
    <w:rsid w:val="003E6258"/>
    <w:rsid w:val="003E6CF6"/>
    <w:rsid w:val="00427A61"/>
    <w:rsid w:val="00427ED7"/>
    <w:rsid w:val="0044265D"/>
    <w:rsid w:val="004540A0"/>
    <w:rsid w:val="004562FE"/>
    <w:rsid w:val="004619C4"/>
    <w:rsid w:val="00475409"/>
    <w:rsid w:val="004835A2"/>
    <w:rsid w:val="00483D91"/>
    <w:rsid w:val="00485977"/>
    <w:rsid w:val="00486E59"/>
    <w:rsid w:val="004A1B7A"/>
    <w:rsid w:val="004B49B7"/>
    <w:rsid w:val="004C112B"/>
    <w:rsid w:val="004C58BA"/>
    <w:rsid w:val="004D54E2"/>
    <w:rsid w:val="0050240F"/>
    <w:rsid w:val="00510BFB"/>
    <w:rsid w:val="005200E7"/>
    <w:rsid w:val="00524156"/>
    <w:rsid w:val="0053248C"/>
    <w:rsid w:val="00546690"/>
    <w:rsid w:val="00555E00"/>
    <w:rsid w:val="00556B28"/>
    <w:rsid w:val="005576D6"/>
    <w:rsid w:val="005646E9"/>
    <w:rsid w:val="00564D26"/>
    <w:rsid w:val="005668B5"/>
    <w:rsid w:val="005671CB"/>
    <w:rsid w:val="00572E44"/>
    <w:rsid w:val="00574804"/>
    <w:rsid w:val="0058312D"/>
    <w:rsid w:val="00590554"/>
    <w:rsid w:val="005A28AF"/>
    <w:rsid w:val="005A5B8C"/>
    <w:rsid w:val="005B09F5"/>
    <w:rsid w:val="005B5060"/>
    <w:rsid w:val="005D0E19"/>
    <w:rsid w:val="005D1422"/>
    <w:rsid w:val="005E42CC"/>
    <w:rsid w:val="005F0148"/>
    <w:rsid w:val="005F0218"/>
    <w:rsid w:val="005F6FE2"/>
    <w:rsid w:val="006159FC"/>
    <w:rsid w:val="0062652D"/>
    <w:rsid w:val="006322B9"/>
    <w:rsid w:val="00633B87"/>
    <w:rsid w:val="00636D59"/>
    <w:rsid w:val="00645A32"/>
    <w:rsid w:val="00646473"/>
    <w:rsid w:val="00671322"/>
    <w:rsid w:val="00674FAA"/>
    <w:rsid w:val="0068541A"/>
    <w:rsid w:val="006A7BD3"/>
    <w:rsid w:val="006C3180"/>
    <w:rsid w:val="006C7393"/>
    <w:rsid w:val="006D3D00"/>
    <w:rsid w:val="006D628E"/>
    <w:rsid w:val="006E657A"/>
    <w:rsid w:val="006E7F37"/>
    <w:rsid w:val="006F24FA"/>
    <w:rsid w:val="006F4F5C"/>
    <w:rsid w:val="00702672"/>
    <w:rsid w:val="00720DFF"/>
    <w:rsid w:val="00727695"/>
    <w:rsid w:val="007431F5"/>
    <w:rsid w:val="00745323"/>
    <w:rsid w:val="007478B1"/>
    <w:rsid w:val="00756F0C"/>
    <w:rsid w:val="0079292F"/>
    <w:rsid w:val="00797634"/>
    <w:rsid w:val="007A38EA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814E61"/>
    <w:rsid w:val="008242EF"/>
    <w:rsid w:val="00826170"/>
    <w:rsid w:val="008369B8"/>
    <w:rsid w:val="00847C6E"/>
    <w:rsid w:val="00861E26"/>
    <w:rsid w:val="00875885"/>
    <w:rsid w:val="00895EE5"/>
    <w:rsid w:val="008A3CCD"/>
    <w:rsid w:val="008B7BCC"/>
    <w:rsid w:val="008C35D0"/>
    <w:rsid w:val="008D632A"/>
    <w:rsid w:val="008E3FA3"/>
    <w:rsid w:val="008F7FD9"/>
    <w:rsid w:val="0090017E"/>
    <w:rsid w:val="00900B50"/>
    <w:rsid w:val="00911E8F"/>
    <w:rsid w:val="0091333C"/>
    <w:rsid w:val="00922BC2"/>
    <w:rsid w:val="00922BEC"/>
    <w:rsid w:val="00925AD0"/>
    <w:rsid w:val="009262C9"/>
    <w:rsid w:val="00944FA3"/>
    <w:rsid w:val="00950705"/>
    <w:rsid w:val="00986207"/>
    <w:rsid w:val="00996423"/>
    <w:rsid w:val="009B098F"/>
    <w:rsid w:val="009C28F1"/>
    <w:rsid w:val="009D5478"/>
    <w:rsid w:val="009D6498"/>
    <w:rsid w:val="009D7D76"/>
    <w:rsid w:val="009E2FF8"/>
    <w:rsid w:val="009E3433"/>
    <w:rsid w:val="009E4092"/>
    <w:rsid w:val="009E59E0"/>
    <w:rsid w:val="009E7426"/>
    <w:rsid w:val="00A00E4D"/>
    <w:rsid w:val="00A01FE1"/>
    <w:rsid w:val="00A215E4"/>
    <w:rsid w:val="00A33677"/>
    <w:rsid w:val="00A33F78"/>
    <w:rsid w:val="00A52C1C"/>
    <w:rsid w:val="00A60819"/>
    <w:rsid w:val="00A8001A"/>
    <w:rsid w:val="00A964BB"/>
    <w:rsid w:val="00AA2891"/>
    <w:rsid w:val="00AB1EEB"/>
    <w:rsid w:val="00AB4BA5"/>
    <w:rsid w:val="00AC09EC"/>
    <w:rsid w:val="00AC5083"/>
    <w:rsid w:val="00AC7C31"/>
    <w:rsid w:val="00AD2587"/>
    <w:rsid w:val="00AE0430"/>
    <w:rsid w:val="00AF3A47"/>
    <w:rsid w:val="00AF473E"/>
    <w:rsid w:val="00AF4865"/>
    <w:rsid w:val="00AF657A"/>
    <w:rsid w:val="00B02EA4"/>
    <w:rsid w:val="00B07742"/>
    <w:rsid w:val="00B10CFC"/>
    <w:rsid w:val="00B12E55"/>
    <w:rsid w:val="00B33326"/>
    <w:rsid w:val="00B3531E"/>
    <w:rsid w:val="00B53507"/>
    <w:rsid w:val="00B56165"/>
    <w:rsid w:val="00B73C6D"/>
    <w:rsid w:val="00B92C73"/>
    <w:rsid w:val="00B945BE"/>
    <w:rsid w:val="00BA0FAB"/>
    <w:rsid w:val="00BB06C1"/>
    <w:rsid w:val="00BB1202"/>
    <w:rsid w:val="00BB43C3"/>
    <w:rsid w:val="00BC2926"/>
    <w:rsid w:val="00BC6B23"/>
    <w:rsid w:val="00BD5B96"/>
    <w:rsid w:val="00BE4059"/>
    <w:rsid w:val="00BF1EB8"/>
    <w:rsid w:val="00C0226D"/>
    <w:rsid w:val="00C05651"/>
    <w:rsid w:val="00C07F71"/>
    <w:rsid w:val="00C15407"/>
    <w:rsid w:val="00C20867"/>
    <w:rsid w:val="00C21ECF"/>
    <w:rsid w:val="00C35E24"/>
    <w:rsid w:val="00C53C28"/>
    <w:rsid w:val="00C60263"/>
    <w:rsid w:val="00CA2223"/>
    <w:rsid w:val="00CA459F"/>
    <w:rsid w:val="00CB1125"/>
    <w:rsid w:val="00CB36F1"/>
    <w:rsid w:val="00D00D3F"/>
    <w:rsid w:val="00D02B78"/>
    <w:rsid w:val="00D03CAF"/>
    <w:rsid w:val="00D13036"/>
    <w:rsid w:val="00D16286"/>
    <w:rsid w:val="00D52C01"/>
    <w:rsid w:val="00D52D20"/>
    <w:rsid w:val="00D650C1"/>
    <w:rsid w:val="00D81800"/>
    <w:rsid w:val="00D83723"/>
    <w:rsid w:val="00D94124"/>
    <w:rsid w:val="00D94815"/>
    <w:rsid w:val="00D94B0B"/>
    <w:rsid w:val="00DA69C1"/>
    <w:rsid w:val="00DB6DD0"/>
    <w:rsid w:val="00DD1632"/>
    <w:rsid w:val="00DD4DF1"/>
    <w:rsid w:val="00DE154A"/>
    <w:rsid w:val="00DE2A1D"/>
    <w:rsid w:val="00E06D74"/>
    <w:rsid w:val="00E1010D"/>
    <w:rsid w:val="00E375AA"/>
    <w:rsid w:val="00E438C6"/>
    <w:rsid w:val="00E63BEC"/>
    <w:rsid w:val="00E71907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4062"/>
    <w:rsid w:val="00EE7CC6"/>
    <w:rsid w:val="00EF1CED"/>
    <w:rsid w:val="00F040B8"/>
    <w:rsid w:val="00F06500"/>
    <w:rsid w:val="00F116B1"/>
    <w:rsid w:val="00F1443C"/>
    <w:rsid w:val="00F16B59"/>
    <w:rsid w:val="00F35D14"/>
    <w:rsid w:val="00F4377A"/>
    <w:rsid w:val="00F4775A"/>
    <w:rsid w:val="00F516BD"/>
    <w:rsid w:val="00F52854"/>
    <w:rsid w:val="00F61789"/>
    <w:rsid w:val="00F705AC"/>
    <w:rsid w:val="00F76319"/>
    <w:rsid w:val="00F822D7"/>
    <w:rsid w:val="00F83877"/>
    <w:rsid w:val="00FB6E32"/>
    <w:rsid w:val="00FD7714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EFFC9-C7F8-4463-899A-9D67D41B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654</Words>
  <Characters>3733</Characters>
  <Application>Microsoft Office Word</Application>
  <DocSecurity>0</DocSecurity>
  <Lines>31</Lines>
  <Paragraphs>8</Paragraphs>
  <ScaleCrop>false</ScaleCrop>
  <Company>CHINA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2020-08-18T02:33:00Z</cp:lastPrinted>
  <dcterms:created xsi:type="dcterms:W3CDTF">2022-09-15T06:00:00Z</dcterms:created>
  <dcterms:modified xsi:type="dcterms:W3CDTF">2022-12-03T06:05:00Z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